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51723" w:rsidRPr="00E51723">
        <w:rPr>
          <w:rFonts w:ascii="Verdana" w:hAnsi="Verdana"/>
          <w:sz w:val="18"/>
          <w:szCs w:val="18"/>
        </w:rPr>
        <w:t>„Oprava staniční koleje č. 14u v žst. Hradec Králové hl.n.“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092" w:rsidRDefault="00585092">
      <w:r>
        <w:separator/>
      </w:r>
    </w:p>
  </w:endnote>
  <w:endnote w:type="continuationSeparator" w:id="0">
    <w:p w:rsidR="00585092" w:rsidRDefault="0058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5172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51723" w:rsidRPr="00E5172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092" w:rsidRDefault="00585092">
      <w:r>
        <w:separator/>
      </w:r>
    </w:p>
  </w:footnote>
  <w:footnote w:type="continuationSeparator" w:id="0">
    <w:p w:rsidR="00585092" w:rsidRDefault="0058509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092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1723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A6EC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C3F144-6330-4239-A665-1DCD193C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2018-11-26T13:48:00Z</dcterms:created>
  <dcterms:modified xsi:type="dcterms:W3CDTF">2019-09-05T09:19:00Z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